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5-</w:t>
      </w:r>
      <w:r>
        <w:rPr>
          <w:rFonts w:ascii="Times New Roman" w:eastAsia="Times New Roman" w:hAnsi="Times New Roman" w:cs="Times New Roman"/>
          <w:sz w:val="25"/>
          <w:szCs w:val="25"/>
        </w:rPr>
        <w:t>106-2612/2025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0067-01-2024-011446-32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февраля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firstLine="567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ст.19.5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</w:t>
      </w:r>
      <w:r>
        <w:rPr>
          <w:rStyle w:val="cat-UserDefinedgrp-46rplc-8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Гулиев Г.А.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проживающий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 ХМАО-Югра г. Сургут, </w:t>
      </w:r>
      <w:r>
        <w:rPr>
          <w:rStyle w:val="cat-UserDefinedgrp-47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срок до </w:t>
      </w:r>
      <w:r>
        <w:rPr>
          <w:rStyle w:val="cat-UserDefinedgrp-23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не выполнил предписание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муниципального жилищного инспектора отдела муниципального жилищного контроля контрольного управления </w:t>
      </w:r>
      <w:r>
        <w:rPr>
          <w:rStyle w:val="cat-UserDefinedgrp-48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необходимости устранить допущенное нарушение, а именно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согласовал с департаментом архитектуры и градостроительства Администрации города Сургута эскизный проект некапитального строения, сооружения в порядке, установленном муниципальным правовым актом, либо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демонтировал нестационарный торговый объект</w:t>
      </w:r>
      <w:r>
        <w:rPr>
          <w:rFonts w:ascii="Times New Roman" w:eastAsia="Times New Roman" w:hAnsi="Times New Roman" w:cs="Times New Roman"/>
          <w:sz w:val="25"/>
          <w:szCs w:val="25"/>
        </w:rPr>
        <w:t>, расположенный по адресу: ХМА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О-Югра г. Сургут ул. </w:t>
      </w:r>
      <w:r>
        <w:rPr>
          <w:rStyle w:val="cat-UserDefinedgrp-49rplc-26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чем нарушил требования, предусмотренные ч. 5 ст. 16 Правил благоустройства территории города Сургута, утвержденных решением Думы города от 26.12.2017 № 206-</w:t>
      </w:r>
      <w:r>
        <w:rPr>
          <w:rFonts w:ascii="Times New Roman" w:eastAsia="Times New Roman" w:hAnsi="Times New Roman" w:cs="Times New Roman"/>
          <w:sz w:val="25"/>
          <w:szCs w:val="25"/>
        </w:rPr>
        <w:t>VI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ДГ «О Правилах благоустройства территории города Сургута», которым установлено обязательное условие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размещения некапитального строения, сооружения на территории города Сургута (за исключением летних кафе при стационарных предприятия общественного питания)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наличие согласованного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департаментом архитектуры и градостроительства Администрации города эскизного проекта некапитального строения, сооружения в порядке, установленном правовым актом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Гулиев Г.А.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Гулиева Г.А.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Изучив предоставленные материалы дела,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судья пришел к следующим выводам.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Гулиева Г.А.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 </w:t>
      </w:r>
      <w:r>
        <w:rPr>
          <w:rFonts w:ascii="Times New Roman" w:eastAsia="Times New Roman" w:hAnsi="Times New Roman" w:cs="Times New Roman"/>
          <w:sz w:val="25"/>
          <w:szCs w:val="25"/>
        </w:rPr>
        <w:t>об адми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нистративном правонарушении № </w:t>
      </w:r>
      <w:r>
        <w:rPr>
          <w:rStyle w:val="cat-UserDefinedgrp-50rplc-37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предписание об устранении выявленных нарушений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обязательных требований № </w:t>
      </w:r>
      <w:r>
        <w:rPr>
          <w:rStyle w:val="cat-UserDefinedgrp-51rplc-3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задание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 проведение выездного обследования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2rplc-41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проведении выездного обследования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3rplc-4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таблицей;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задание на проведение выездного обследования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4rplc-4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акт о проведении выездного обследования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55rplc-4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 фото-таблицей;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объяснение инспектора отдела муниципального жилищного контроля контрольного управления </w:t>
      </w:r>
      <w:r>
        <w:rPr>
          <w:rStyle w:val="cat-UserDefinedgrp-56rplc-49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сообщение директора Департамента архитектуры и градостроительства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UserDefinedgrp-11rplc-5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об отсутствии разрешения на установку торгового нестационарного объекта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 </w:t>
      </w:r>
      <w:r>
        <w:rPr>
          <w:rFonts w:ascii="Times New Roman" w:eastAsia="Times New Roman" w:hAnsi="Times New Roman" w:cs="Times New Roman"/>
          <w:sz w:val="25"/>
          <w:szCs w:val="25"/>
        </w:rPr>
        <w:t>Сургут ул</w:t>
      </w:r>
      <w:r>
        <w:rPr>
          <w:rStyle w:val="cat-UserDefinedgrp-57rplc-56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выписка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ЕГРИП;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договор № </w:t>
      </w:r>
      <w:r>
        <w:rPr>
          <w:rStyle w:val="cat-UserDefinedgrp-58rplc-57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схема к акту выездного обследования;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ЕГРН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 земельный участок по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адресу г. Сургут </w:t>
      </w:r>
      <w:r>
        <w:rPr>
          <w:rStyle w:val="cat-UserDefinedgrp-59rplc-6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Указанные документы суд признает относимыми и допустимыми </w:t>
      </w:r>
      <w:r>
        <w:rPr>
          <w:rFonts w:ascii="Times New Roman" w:eastAsia="Times New Roman" w:hAnsi="Times New Roman" w:cs="Times New Roman"/>
          <w:sz w:val="25"/>
          <w:szCs w:val="25"/>
        </w:rPr>
        <w:t>доказательствами по делу, так как они составлены уполномоченными на то лицами в соответствии с требованиями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6 ст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1 Федерального закона от 31 июля 2020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г.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248-ФЗ "О государственном контроле (надзоре) и муниципальном контроле в Российской Федерации" муниципальный контроль осуществляется в рамках полномочий органов местного самоуправления по решению вопросов местного значения.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п.7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 </w:t>
      </w:r>
      <w:r>
        <w:rPr>
          <w:rFonts w:ascii="Times New Roman" w:eastAsia="Times New Roman" w:hAnsi="Times New Roman" w:cs="Times New Roman"/>
          <w:sz w:val="25"/>
          <w:szCs w:val="25"/>
          <w:vertAlign w:val="superscript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Постановления Правительства РФ от 10 марта 2022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г.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336 "Об особенностях организации и осуществления государственного контроля (надзора), муниципального контроля"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/document/74449814/entry/0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"О государственном контроле (надзоре) и муниципальном контроле в Российской Федерации" и настоящим постановлением. 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Согласно п.</w:t>
      </w:r>
      <w:r>
        <w:rPr>
          <w:rFonts w:ascii="Times New Roman" w:eastAsia="Times New Roman" w:hAnsi="Times New Roman" w:cs="Times New Roman"/>
          <w:sz w:val="25"/>
          <w:szCs w:val="25"/>
        </w:rPr>
        <w:t>5. Правил благоустройства территории города Сургута, утвержденных Решением Думы г. Сургута от 26 декабря 2017 г. N 206-VI ДГ обязательным условием размещения некапитального строения, сооружения на территории города Сургута (за исключением летних кафе при стационарных предприятиях общественного питания) является наличие согласованного департаментом архитектуры и градостроительства Администрации города эскизного проекта некапитального строения, сооружения в порядке, установленном муниципальным правовым актом.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Согласно предписанию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инспектора отдела муниципального жилищного контроля контрольного управления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Администрации города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Сургута </w:t>
      </w:r>
      <w:r>
        <w:rPr>
          <w:rStyle w:val="cat-UserDefinedgrp-61rplc-7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UserDefinedgrp-11rplc-71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Style w:val="cat-UserDefinedgrp-62rplc-72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Гулиев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был обязан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срок до </w:t>
      </w:r>
      <w:r>
        <w:rPr>
          <w:rStyle w:val="cat-UserDefinedgrp-60rplc-7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устранить нарушения: согласовать с департаментом архитектуры и градостроительства Администрации города Сургута эскизный проект некапитального строения, сооружения в порядке, установленном муниципальным правовым актом, расположенного по адрес</w:t>
      </w:r>
      <w:r>
        <w:rPr>
          <w:rFonts w:ascii="Times New Roman" w:eastAsia="Times New Roman" w:hAnsi="Times New Roman" w:cs="Times New Roman"/>
          <w:sz w:val="25"/>
          <w:szCs w:val="25"/>
        </w:rPr>
        <w:t>у: ХМА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О-Югра г. Сургут </w:t>
      </w:r>
      <w:r>
        <w:rPr>
          <w:rStyle w:val="cat-UserDefinedgrp-63rplc-7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демонтировать нестационарный торговый объект. 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ктом № </w:t>
      </w:r>
      <w:r>
        <w:rPr>
          <w:rStyle w:val="cat-UserDefinedgrp-64rplc-7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проведении выездного обследования установлено, что предписа</w:t>
      </w:r>
      <w:r>
        <w:rPr>
          <w:rFonts w:ascii="Times New Roman" w:eastAsia="Times New Roman" w:hAnsi="Times New Roman" w:cs="Times New Roman"/>
          <w:sz w:val="25"/>
          <w:szCs w:val="25"/>
        </w:rPr>
        <w:t>ние должностного лица №</w:t>
      </w:r>
      <w:r>
        <w:rPr>
          <w:rStyle w:val="cat-UserDefinedgrp-62rplc-8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UserDefinedgrp-11rplc-82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срок до </w:t>
      </w:r>
      <w:r>
        <w:rPr>
          <w:rStyle w:val="cat-UserDefinedgrp-23rplc-83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Гулиевым Г.А.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 выполнено.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Гулиева Г.А.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 1 ст. 19.5 КоАП РФ - 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Обстоятельства, исключающие производство по делу об административном правонарушении и указанные в ст. 24.5 КоАП РФ, а также обстоятельства, предусмотренные ст. 29.2 КоАП РФ, исключающие возможность рассмотрения дела, не установлены.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 не усматривает.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 суд учитывает характер и степень общественной опасности совершенного правонарушения, и считает необходимым назначить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Гулиеву Г.А.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>индивидуального предприним</w:t>
      </w:r>
      <w:r>
        <w:rPr>
          <w:rFonts w:ascii="Times New Roman" w:eastAsia="Times New Roman" w:hAnsi="Times New Roman" w:cs="Times New Roman"/>
        </w:rPr>
        <w:t>ателя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Гулиева </w:t>
      </w:r>
      <w:r>
        <w:rPr>
          <w:rStyle w:val="cat-UserDefinedgrp-65rplc-8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ч. 1 ст.19.5 КоАП РФ, и назначить административное наказание в виде штрафа в размере 1000 (одной тысячи) рублей.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Управление федерального казначейства по ХМАО-Югре (Администрация </w:t>
      </w:r>
      <w:r>
        <w:rPr>
          <w:rFonts w:ascii="Times New Roman" w:eastAsia="Times New Roman" w:hAnsi="Times New Roman" w:cs="Times New Roman"/>
          <w:sz w:val="25"/>
          <w:szCs w:val="25"/>
        </w:rPr>
        <w:t>г.Сургута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л/с 0487303102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0), ЕКС №40102810245370000007,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КС 03100643000000018700 РКЦ г. Ханты-Мансийск//УФК по Ханты-Мансийскому автономному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округу-Югре г. Ханты-Мансийск,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БИК 007162163 ОКТМО </w:t>
      </w:r>
      <w:r>
        <w:rPr>
          <w:rFonts w:ascii="Times New Roman" w:eastAsia="Times New Roman" w:hAnsi="Times New Roman" w:cs="Times New Roman"/>
          <w:sz w:val="25"/>
          <w:szCs w:val="25"/>
        </w:rPr>
        <w:t>г.Сургута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71876000, ИНН 8602020249, КПП 860201001, КБК 04011601194010000140, получатель Администрация горо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 Сургута,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0412365400675001062519190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</w:t>
      </w:r>
      <w:r>
        <w:rPr>
          <w:rFonts w:ascii="Times New Roman" w:eastAsia="Times New Roman" w:hAnsi="Times New Roman" w:cs="Times New Roman"/>
          <w:sz w:val="25"/>
          <w:szCs w:val="25"/>
        </w:rPr>
        <w:t>копией предоставляется в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Сургутский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подпись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66rplc-103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35896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6rplc-8">
    <w:name w:val="cat-UserDefined grp-46 rplc-8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23rplc-19">
    <w:name w:val="cat-UserDefined grp-23 rplc-19"/>
    <w:basedOn w:val="DefaultParagraphFont"/>
  </w:style>
  <w:style w:type="character" w:customStyle="1" w:styleId="cat-UserDefinedgrp-48rplc-21">
    <w:name w:val="cat-UserDefined grp-48 rplc-21"/>
    <w:basedOn w:val="DefaultParagraphFont"/>
  </w:style>
  <w:style w:type="character" w:customStyle="1" w:styleId="cat-UserDefinedgrp-49rplc-26">
    <w:name w:val="cat-UserDefined grp-49 rplc-26"/>
    <w:basedOn w:val="DefaultParagraphFont"/>
  </w:style>
  <w:style w:type="character" w:customStyle="1" w:styleId="cat-UserDefinedgrp-50rplc-37">
    <w:name w:val="cat-UserDefined grp-50 rplc-37"/>
    <w:basedOn w:val="DefaultParagraphFont"/>
  </w:style>
  <w:style w:type="character" w:customStyle="1" w:styleId="cat-UserDefinedgrp-51rplc-39">
    <w:name w:val="cat-UserDefined grp-51 rplc-39"/>
    <w:basedOn w:val="DefaultParagraphFont"/>
  </w:style>
  <w:style w:type="character" w:customStyle="1" w:styleId="cat-UserDefinedgrp-52rplc-41">
    <w:name w:val="cat-UserDefined grp-52 rplc-41"/>
    <w:basedOn w:val="DefaultParagraphFont"/>
  </w:style>
  <w:style w:type="character" w:customStyle="1" w:styleId="cat-UserDefinedgrp-53rplc-43">
    <w:name w:val="cat-UserDefined grp-53 rplc-43"/>
    <w:basedOn w:val="DefaultParagraphFont"/>
  </w:style>
  <w:style w:type="character" w:customStyle="1" w:styleId="cat-UserDefinedgrp-54rplc-45">
    <w:name w:val="cat-UserDefined grp-54 rplc-45"/>
    <w:basedOn w:val="DefaultParagraphFont"/>
  </w:style>
  <w:style w:type="character" w:customStyle="1" w:styleId="cat-UserDefinedgrp-55rplc-47">
    <w:name w:val="cat-UserDefined grp-55 rplc-47"/>
    <w:basedOn w:val="DefaultParagraphFont"/>
  </w:style>
  <w:style w:type="character" w:customStyle="1" w:styleId="cat-UserDefinedgrp-56rplc-49">
    <w:name w:val="cat-UserDefined grp-56 rplc-49"/>
    <w:basedOn w:val="DefaultParagraphFont"/>
  </w:style>
  <w:style w:type="character" w:customStyle="1" w:styleId="cat-UserDefinedgrp-11rplc-54">
    <w:name w:val="cat-UserDefined grp-11 rplc-54"/>
    <w:basedOn w:val="DefaultParagraphFont"/>
  </w:style>
  <w:style w:type="character" w:customStyle="1" w:styleId="cat-UserDefinedgrp-57rplc-56">
    <w:name w:val="cat-UserDefined grp-57 rplc-56"/>
    <w:basedOn w:val="DefaultParagraphFont"/>
  </w:style>
  <w:style w:type="character" w:customStyle="1" w:styleId="cat-UserDefinedgrp-58rplc-57">
    <w:name w:val="cat-UserDefined grp-58 rplc-57"/>
    <w:basedOn w:val="DefaultParagraphFont"/>
  </w:style>
  <w:style w:type="character" w:customStyle="1" w:styleId="cat-UserDefinedgrp-59rplc-60">
    <w:name w:val="cat-UserDefined grp-59 rplc-60"/>
    <w:basedOn w:val="DefaultParagraphFont"/>
  </w:style>
  <w:style w:type="character" w:customStyle="1" w:styleId="cat-UserDefinedgrp-61rplc-70">
    <w:name w:val="cat-UserDefined grp-61 rplc-70"/>
    <w:basedOn w:val="DefaultParagraphFont"/>
  </w:style>
  <w:style w:type="character" w:customStyle="1" w:styleId="cat-UserDefinedgrp-11rplc-71">
    <w:name w:val="cat-UserDefined grp-11 rplc-71"/>
    <w:basedOn w:val="DefaultParagraphFont"/>
  </w:style>
  <w:style w:type="character" w:customStyle="1" w:styleId="cat-UserDefinedgrp-62rplc-72">
    <w:name w:val="cat-UserDefined grp-62 rplc-72"/>
    <w:basedOn w:val="DefaultParagraphFont"/>
  </w:style>
  <w:style w:type="character" w:customStyle="1" w:styleId="cat-UserDefinedgrp-60rplc-74">
    <w:name w:val="cat-UserDefined grp-60 rplc-74"/>
    <w:basedOn w:val="DefaultParagraphFont"/>
  </w:style>
  <w:style w:type="character" w:customStyle="1" w:styleId="cat-UserDefinedgrp-63rplc-78">
    <w:name w:val="cat-UserDefined grp-63 rplc-78"/>
    <w:basedOn w:val="DefaultParagraphFont"/>
  </w:style>
  <w:style w:type="character" w:customStyle="1" w:styleId="cat-UserDefinedgrp-64rplc-79">
    <w:name w:val="cat-UserDefined grp-64 rplc-79"/>
    <w:basedOn w:val="DefaultParagraphFont"/>
  </w:style>
  <w:style w:type="character" w:customStyle="1" w:styleId="cat-UserDefinedgrp-62rplc-81">
    <w:name w:val="cat-UserDefined grp-62 rplc-81"/>
    <w:basedOn w:val="DefaultParagraphFont"/>
  </w:style>
  <w:style w:type="character" w:customStyle="1" w:styleId="cat-UserDefinedgrp-11rplc-82">
    <w:name w:val="cat-UserDefined grp-11 rplc-82"/>
    <w:basedOn w:val="DefaultParagraphFont"/>
  </w:style>
  <w:style w:type="character" w:customStyle="1" w:styleId="cat-UserDefinedgrp-23rplc-83">
    <w:name w:val="cat-UserDefined grp-23 rplc-83"/>
    <w:basedOn w:val="DefaultParagraphFont"/>
  </w:style>
  <w:style w:type="character" w:customStyle="1" w:styleId="cat-UserDefinedgrp-65rplc-88">
    <w:name w:val="cat-UserDefined grp-65 rplc-88"/>
    <w:basedOn w:val="DefaultParagraphFont"/>
  </w:style>
  <w:style w:type="character" w:customStyle="1" w:styleId="cat-UserDefinedgrp-66rplc-103">
    <w:name w:val="cat-UserDefined grp-66 rplc-10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0553-E24B-4004-9C1A-D25B5FC7DFA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