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5-110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-01-2025-000304-09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Аксенова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 Аксенов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обстановке, имел шаткую походку, 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</w:t>
      </w:r>
      <w:r>
        <w:rPr>
          <w:rFonts w:ascii="Times New Roman" w:eastAsia="Times New Roman" w:hAnsi="Times New Roman" w:cs="Times New Roman"/>
          <w:sz w:val="28"/>
          <w:szCs w:val="28"/>
        </w:rPr>
        <w:t>при разговоре из полости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Аксенов Д.А.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Аксенова Д.А.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Аксенова Д.А.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3rplc-3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Аксенова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Аксенова </w:t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жания, а именно с 23:00 часов </w:t>
      </w:r>
      <w:r>
        <w:rPr>
          <w:rStyle w:val="cat-UserDefinedgrp-36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4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0rplc-16">
    <w:name w:val="cat-UserDefined grp-10 rplc-16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2">
    <w:name w:val="cat-UserDefined grp-32 rplc-32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6rplc-43">
    <w:name w:val="cat-UserDefined grp-36 rplc-43"/>
    <w:basedOn w:val="DefaultParagraphFont"/>
  </w:style>
  <w:style w:type="character" w:customStyle="1" w:styleId="cat-UserDefinedgrp-34rplc-46">
    <w:name w:val="cat-UserDefined grp-3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