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05-0504/1302/2025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Яр, Сургутский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30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ч. 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Гаврилова Виталия Вячеславовича,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место жительства (регистрации):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86 ХМ № 638189 от 20.01.2025 года, 20.01.2025 года в 18 часов 36 минут водитель Гаврилов В.В., управляя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марки </w:t>
      </w:r>
      <w:r>
        <w:rPr>
          <w:rStyle w:val="cat-CarMakeModelgrp-24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5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</w:rPr>
        <w:t>864 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>Р404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Тюмень-Тобольск-Ханты-Мансийск – Ханты-Мансийский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обгон автомобиля </w:t>
      </w:r>
      <w:r>
        <w:rPr>
          <w:rStyle w:val="cat-CarMakeModelgrp-23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зоне действия дорожного знака 3.20 ПДД РФ «Обгон запрещен» с выездом на полосу дороги предназначенной для встречных транспортных средств, и дальнейшим возвращением на ранее занимаемую полосу дороги, ответственность за которое предусмотрена ч. 4 ст. 12.15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Гаврилова В.В.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Опрошенный в судебном заседании 24.04.2025 года Гаврилов В.В. вину не признавал, суду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20.01.2025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плохая погода, метель, дорожные знаки были заметены снегом, но с учетом плохих погодных условий он не совершал данного правонарушения, соблюдал правила дорожного движения и совершил обгон не в зоне действия знака 3.20 ПДД РФ «Обгон запрещен», а по окончании его действия.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30.04.2025г.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во вменяемом ему правонарушении не признал.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Гаврилова В.В., и</w:t>
      </w:r>
      <w:r>
        <w:rPr>
          <w:rFonts w:ascii="Times New Roman" w:eastAsia="Times New Roman" w:hAnsi="Times New Roman" w:cs="Times New Roman"/>
          <w:sz w:val="28"/>
          <w:szCs w:val="28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24.1 и 1.3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1090 (далее - 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Приложением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"Дорожные знаки" к Правилам дорожного движения, являющимся неотъемлемой частью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движения, в зоне действия знака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3.20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"Обгон запрещен"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коляски. Зона действия знака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3.20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распространяется от места установки знака до соответствующего отменяющего знака, либо до ближайшего перекрестка,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выезд в нарушение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настоящей статьи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ч.ч</w:t>
      </w:r>
      <w:r>
        <w:rPr>
          <w:rFonts w:ascii="Times New Roman" w:eastAsia="Times New Roman" w:hAnsi="Times New Roman" w:cs="Times New Roman"/>
          <w:sz w:val="28"/>
          <w:szCs w:val="28"/>
        </w:rPr>
        <w:t>. 1 и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доказательств вины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административным органом представлены: схема места совершения административного правонарушения, дислокация разметки и дорожных знаков,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 свидетеля,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>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определение о передаче протокола об административном правонарушении и других материалов дела на рассмотрение по подведомственности.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 тем,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</w:t>
      </w:r>
      <w:r>
        <w:rPr>
          <w:rFonts w:ascii="Times New Roman" w:eastAsia="Times New Roman" w:hAnsi="Times New Roman" w:cs="Times New Roman"/>
          <w:sz w:val="28"/>
          <w:szCs w:val="28"/>
        </w:rPr>
        <w:t>дислокацию разметки и дорожных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автомобильной дороги Р404 </w:t>
      </w:r>
      <w:r>
        <w:rPr>
          <w:rFonts w:ascii="Times New Roman" w:eastAsia="Times New Roman" w:hAnsi="Times New Roman" w:cs="Times New Roman"/>
          <w:sz w:val="28"/>
          <w:szCs w:val="28"/>
        </w:rPr>
        <w:t>Тюмень-Тобольск-Ханты-Мансийск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участках автомобильной дороги 862 км – 865 км, </w:t>
      </w:r>
      <w:r>
        <w:rPr>
          <w:rFonts w:ascii="Times New Roman" w:eastAsia="Times New Roman" w:hAnsi="Times New Roman" w:cs="Times New Roman"/>
          <w:sz w:val="28"/>
          <w:szCs w:val="28"/>
        </w:rPr>
        <w:t>изучив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 с регистратора, установленного в автомашине инспекторов Госавтоинспекции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усматривается нарушение Гавриловым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движения, связанн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выездом на полосу автомобильной дороги, предназначенной для встречного движения в местах, где это запрещено.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 дорожного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действия знака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3.20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"Обгон запрещен"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распространяется от места установки знака до соответствующего отменяющего знака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видеозапис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регистратора, установленного в автомашине инспекторов Госавтоинспекции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20.0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1.2025 года в 18 часов 36 минут,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 В.В., управляя транс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портным средством марки </w:t>
      </w:r>
      <w:r>
        <w:rPr>
          <w:rStyle w:val="cat-CarMakeModelgrp-24rplc-3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5rplc-4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обгон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впереди идущего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 3.21 ПДД РФ «Конец зоны запрещения обгона».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Иных действующих дорожных знаков, отменяющих действие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знака 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1 и не допускающих совершение обгона, в момент совершения Гавриловым В.В. обгона не имелось.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при составлении протокола, так и при рассмотрении дела об административном правонарушении Гаврилов В.В. последовательно заявлял о несогласии с вменяемым нарушением.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Схема, на которой инспектором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отражена траектория движения автомобиля </w:t>
      </w:r>
      <w:r>
        <w:rPr>
          <w:rStyle w:val="cat-CarMakeModelgrp-24rplc-4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UserDefinedgrp-31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", 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Гаврилова В.В</w:t>
      </w:r>
      <w:r>
        <w:rPr>
          <w:rFonts w:ascii="Times New Roman" w:eastAsia="Times New Roman" w:hAnsi="Times New Roman" w:cs="Times New Roman"/>
          <w:sz w:val="28"/>
          <w:szCs w:val="28"/>
        </w:rPr>
        <w:t>., передаёт лишь субъ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ективное восприятие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траектории движения транспортного средства по дороге, и её нельзя признать бесспорным доказательством вины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Гаврилова В.В.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тносится критически к показаниям свидетеля </w:t>
      </w:r>
      <w:r>
        <w:rPr>
          <w:rStyle w:val="cat-UserDefinedgrp-32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поскольку они опровергаются </w:t>
      </w:r>
      <w:r>
        <w:rPr>
          <w:rFonts w:ascii="Times New Roman" w:eastAsia="Times New Roman" w:hAnsi="Times New Roman" w:cs="Times New Roman"/>
          <w:sz w:val="28"/>
          <w:szCs w:val="28"/>
        </w:rPr>
        <w:t>дислокацией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разметки и дорожных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автомобильной дороги Р404 </w:t>
      </w:r>
      <w:r>
        <w:rPr>
          <w:rFonts w:ascii="Times New Roman" w:eastAsia="Times New Roman" w:hAnsi="Times New Roman" w:cs="Times New Roman"/>
          <w:sz w:val="28"/>
          <w:szCs w:val="28"/>
        </w:rPr>
        <w:t>Тюмень-Тобольск-Ханты-Мансийск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участках автомобильной дороги 862 км – 865 км, а также видеозаписью с регистратора, установленного в автомашине инспекторов Госавтоинспекции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ХМАО-Югре.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1.5 КоАП РФ 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Кодексом Российской Федерации об административных правонарушениях,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названной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Гаврилова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12.15 КоАП РФ, не установлена материалами дела.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полагаю, что производство по делу об административном правонарушении, предусмотренном ч. 4 ст. 12.15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подлежит прекращению в связи с отсутствием в его действиях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24.5 КоАП РФ,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24.5, 29.9-29.11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Гаврилова Виталия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 прекратить на основании п. 2 ч. 1 ст. 24.5 КоАП РФ - в связи с отсутствием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Галбарцева 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CarMakeModelgrp-24rplc-17">
    <w:name w:val="cat-CarMakeModel grp-24 rplc-17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CarNumbergrp-25rplc-19">
    <w:name w:val="cat-CarNumber grp-25 rplc-19"/>
    <w:basedOn w:val="DefaultParagraphFont"/>
  </w:style>
  <w:style w:type="character" w:customStyle="1" w:styleId="cat-CarMakeModelgrp-23rplc-21">
    <w:name w:val="cat-CarMakeModel grp-23 rplc-21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CarMakeModelgrp-24rplc-38">
    <w:name w:val="cat-CarMakeModel grp-24 rplc-38"/>
    <w:basedOn w:val="DefaultParagraphFont"/>
  </w:style>
  <w:style w:type="character" w:customStyle="1" w:styleId="cat-UserDefinedgrp-28rplc-39">
    <w:name w:val="cat-UserDefined grp-28 rplc-39"/>
    <w:basedOn w:val="DefaultParagraphFont"/>
  </w:style>
  <w:style w:type="character" w:customStyle="1" w:styleId="cat-CarNumbergrp-25rplc-40">
    <w:name w:val="cat-CarNumber grp-25 rplc-40"/>
    <w:basedOn w:val="DefaultParagraphFont"/>
  </w:style>
  <w:style w:type="character" w:customStyle="1" w:styleId="cat-CarMakeModelgrp-24rplc-44">
    <w:name w:val="cat-CarMakeModel grp-24 rplc-44"/>
    <w:basedOn w:val="DefaultParagraphFont"/>
  </w:style>
  <w:style w:type="character" w:customStyle="1" w:styleId="cat-UserDefinedgrp-31rplc-45">
    <w:name w:val="cat-UserDefined grp-31 rplc-45"/>
    <w:basedOn w:val="DefaultParagraphFont"/>
  </w:style>
  <w:style w:type="character" w:customStyle="1" w:styleId="cat-UserDefinedgrp-32rplc-49">
    <w:name w:val="cat-UserDefined grp-32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48809&amp;dst=100064&amp;field=134&amp;date=04.05.2025&amp;demo=2" TargetMode="External" /><Relationship Id="rId5" Type="http://schemas.openxmlformats.org/officeDocument/2006/relationships/hyperlink" Target="https://login.consultant.ru/link/?req=doc&amp;base=LAW&amp;n=448809&amp;dst=100015&amp;field=134&amp;date=04.05.2025&amp;demo=2" TargetMode="External" /><Relationship Id="rId6" Type="http://schemas.openxmlformats.org/officeDocument/2006/relationships/hyperlink" Target="https://login.consultant.ru/link/?req=doc&amp;base=LAW&amp;n=448809&amp;dst=101169&amp;field=134&amp;date=04.05.2025&amp;demo=2" TargetMode="External" /><Relationship Id="rId7" Type="http://schemas.openxmlformats.org/officeDocument/2006/relationships/hyperlink" Target="https://login.consultant.ru/link/?req=doc&amp;base=LAW&amp;n=448809&amp;dst=305&amp;field=134&amp;date=04.05.2025&amp;demo=2" TargetMode="External" /><Relationship Id="rId8" Type="http://schemas.openxmlformats.org/officeDocument/2006/relationships/hyperlink" Target="https://login.consultant.ru/link/?req=doc&amp;base=LAW&amp;n=460025&amp;dst=2255&amp;field=134&amp;date=04.05.2025&amp;demo=2" TargetMode="External" /><Relationship Id="rId9" Type="http://schemas.openxmlformats.org/officeDocument/2006/relationships/hyperlink" Target="https://login.consultant.ru/link/?req=doc&amp;base=LAW&amp;n=460025&amp;dst=3867&amp;field=134&amp;date=04.05.2025&amp;demo=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