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№3 Ханты-М</w:t>
      </w:r>
      <w:r>
        <w:rPr>
          <w:rFonts w:ascii="Times New Roman" w:eastAsia="Times New Roman" w:hAnsi="Times New Roman" w:cs="Times New Roman"/>
          <w:sz w:val="25"/>
          <w:szCs w:val="25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мировой судья судебного участка №6 Ханты-М</w:t>
      </w:r>
      <w:r>
        <w:rPr>
          <w:rFonts w:ascii="Times New Roman" w:eastAsia="Times New Roman" w:hAnsi="Times New Roman" w:cs="Times New Roman"/>
          <w:sz w:val="25"/>
          <w:szCs w:val="25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Артюх О.П.,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представителя административного органа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5"/>
          <w:szCs w:val="25"/>
        </w:rPr>
        <w:t>Басацкого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С.А., </w:t>
      </w:r>
      <w:r>
        <w:rPr>
          <w:rFonts w:ascii="Times New Roman" w:eastAsia="Times New Roman" w:hAnsi="Times New Roman" w:cs="Times New Roman"/>
          <w:sz w:val="25"/>
          <w:szCs w:val="25"/>
        </w:rPr>
        <w:t>за</w:t>
      </w:r>
      <w:r>
        <w:rPr>
          <w:rFonts w:ascii="Times New Roman" w:eastAsia="Times New Roman" w:hAnsi="Times New Roman" w:cs="Times New Roman"/>
          <w:sz w:val="25"/>
          <w:szCs w:val="25"/>
        </w:rPr>
        <w:t>щитника бюджетного учреждения Ханты-Мансийского автономного округа</w:t>
      </w:r>
      <w:r>
        <w:rPr>
          <w:rFonts w:ascii="Times New Roman" w:eastAsia="Times New Roman" w:hAnsi="Times New Roman" w:cs="Times New Roman"/>
          <w:sz w:val="25"/>
          <w:szCs w:val="25"/>
        </w:rPr>
        <w:t>-Югры «Окружная к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иническая больница»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Мурашовой А.С.,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83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-2803/2025, возбужденное по части 13 статьи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19.5 КоАП РФ в отношении юридического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- бюджетного учреждения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округа-Югры «Окружная клиническая больница», ИНН:8601004445, ОГРН:1028600514360, юридический адрес: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ул.Калинина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д.40, сведений о привлечении ранее к административной ответственности не представлено,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Бюджетное учреждение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«Окружная клиническая больница», находящееся по месту регистрации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д.40, в срок до 24:00 час.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выполнило требования пунктов </w:t>
      </w:r>
      <w:r>
        <w:rPr>
          <w:rFonts w:ascii="Times New Roman" w:eastAsia="Times New Roman" w:hAnsi="Times New Roman" w:cs="Times New Roman"/>
          <w:sz w:val="25"/>
          <w:szCs w:val="25"/>
        </w:rPr>
        <w:t>№№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1-3, 6-8, 14, 19, 20-25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2304/171-86/15-П/ПВП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28.04.2023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устранении нарушений обязательных требований пожарной безопасности, содержащихся в Федеральном законе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22.07.2008 №123-ФЗ «Технический регламент о требованиях пожарной безопасности»,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именно на объекте защиты</w:t>
      </w:r>
      <w:r>
        <w:rPr>
          <w:rFonts w:ascii="Times New Roman" w:eastAsia="Times New Roman" w:hAnsi="Times New Roman" w:cs="Times New Roman"/>
          <w:sz w:val="25"/>
          <w:szCs w:val="25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Больничный комплекс литер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и, находящемся в оперативном управлении данного учреждения здравоохранения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 1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123-ФЗ от 22.07.2008 «Технический регламент о требованиях пожарной безопасности», в декларации пожарной безопасности от 21.05.2018 № 71131000-ТО-000545, содержится недостоверная информация. Бюджетное учреждения Ханты-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Югры «Окружная клиническая больница» в отношении объекта защиты: «Здание больничного комплекса литер В», по адресу: город Ханты-Мансийск, ул. Калинина, 40, выполнен </w:t>
      </w:r>
      <w:r>
        <w:rPr>
          <w:rFonts w:ascii="Times New Roman" w:eastAsia="Times New Roman" w:hAnsi="Times New Roman" w:cs="Times New Roman"/>
          <w:sz w:val="25"/>
          <w:szCs w:val="25"/>
        </w:rPr>
        <w:t>расчет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оценке пожарного риска. При наличии расчета по оценке пожарного риска в ходе проведения контрольного (надзорного) мероприятия проверяется соответствие </w:t>
      </w:r>
      <w:r>
        <w:rPr>
          <w:rFonts w:ascii="Times New Roman" w:eastAsia="Times New Roman" w:hAnsi="Times New Roman" w:cs="Times New Roman"/>
          <w:sz w:val="25"/>
          <w:szCs w:val="25"/>
        </w:rPr>
        <w:t>требованиям, установленным Правилами проведения расчетов по оценке пожарного риска, утвержденными постановлением Правительства Российской Федерации от 22.07.2020 № 1084 «О порядке проведения расчетов по оценке пожарного риска» так в отчете, содержащем результаты расчета по оценке пож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рного риска для объекта защиты, отсутствуют следующие исходные данные: работоспособности систем противопожарной защиты, для системы оповещения и управления эвакуацией людей при пожаре; площадь и места размещения зон безопасности (</w:t>
      </w:r>
      <w:r>
        <w:rPr>
          <w:rFonts w:ascii="Times New Roman" w:eastAsia="Times New Roman" w:hAnsi="Times New Roman" w:cs="Times New Roman"/>
          <w:sz w:val="25"/>
          <w:szCs w:val="25"/>
        </w:rPr>
        <w:t>пожаробезопасных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зон) для людей, относящихся к маломобильным группам населения; данные о высоте этажей (помещений); сведения о количестве и размещении людей на объекте защиты, в том числе относящихся к маломобильным группам населения, а также не имеющих возможности передвигаться самостоятельно, передвигающихся несамостоятельно на кресле-коляске, действия по транспортировке которых являются недопустимыми вследствие прямой угрозы жизни, вызванной такой транспортировкой. Вместе с тем используется интегральный метод математического моделирования. Согласно раздела II Приложения 6 к п. 12 Приказа МЧС №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 при использовании интегральной и зонной моделей для помещения, один из линейных размеров которого более чем в пять раз превышает хотя бы один из двух других линейных размеров, необходимо это помещение делить на участки, размеры которых соизмеримы между собой, и рассматривать участки как отдельные помещения, сообщающиеся проемами, площадь которых равна площади сечения на границе участков. В связи с чем, расчет по оценке пожарного риска в ходе проведения контрольного (надзорн</w:t>
      </w:r>
      <w:r>
        <w:rPr>
          <w:rFonts w:ascii="Times New Roman" w:eastAsia="Times New Roman" w:hAnsi="Times New Roman" w:cs="Times New Roman"/>
          <w:sz w:val="25"/>
          <w:szCs w:val="25"/>
        </w:rPr>
        <w:t>ого) мероприятия, не учитывался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56, ч. 1 ст. 85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123-ФЗ от 22.07.2008 «Технический регламент о требованиях </w:t>
      </w:r>
      <w:r>
        <w:rPr>
          <w:rFonts w:ascii="Times New Roman" w:eastAsia="Times New Roman" w:hAnsi="Times New Roman" w:cs="Times New Roman"/>
          <w:sz w:val="25"/>
          <w:szCs w:val="25"/>
        </w:rPr>
        <w:t>пожарной безопасности», (подп. е)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 7.14 СП 7.13130.2013 «Отопление, вентиляция и кондиционирование. Требования пожарной безопасности»; (подп. д) п. 5.15 </w:t>
      </w:r>
      <w:r>
        <w:rPr>
          <w:rFonts w:ascii="Times New Roman" w:eastAsia="Times New Roman" w:hAnsi="Times New Roman" w:cs="Times New Roman"/>
          <w:sz w:val="25"/>
          <w:szCs w:val="25"/>
        </w:rPr>
        <w:t>снип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2.04.05-91), в тамбур-шлюз при внутренней лестнице, ведущей из подвального этажа в помещения первого этажа не предусмотрена подача наружного воздуха при пожаре системами приточной </w:t>
      </w:r>
      <w:r>
        <w:rPr>
          <w:rFonts w:ascii="Times New Roman" w:eastAsia="Times New Roman" w:hAnsi="Times New Roman" w:cs="Times New Roman"/>
          <w:sz w:val="25"/>
          <w:szCs w:val="25"/>
        </w:rPr>
        <w:t>противодымной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вентиляции;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главы 1 статьи 6 пункта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ч. 1 ст. 56, ч. 1 </w:t>
      </w:r>
      <w:r>
        <w:rPr>
          <w:rFonts w:ascii="Times New Roman" w:eastAsia="Times New Roman" w:hAnsi="Times New Roman" w:cs="Times New Roman"/>
          <w:sz w:val="25"/>
          <w:szCs w:val="25"/>
        </w:rPr>
        <w:t>ст. 85, ч. 20 ст. 88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подп. п) п. 7.14 СП 7.13130.2013 «Отопление, вентиляция и кондиционирование. Требования пожарной безопасности»; (п. 1.147 </w:t>
      </w:r>
      <w:r>
        <w:rPr>
          <w:rFonts w:ascii="Times New Roman" w:eastAsia="Times New Roman" w:hAnsi="Times New Roman" w:cs="Times New Roman"/>
          <w:sz w:val="25"/>
          <w:szCs w:val="25"/>
        </w:rPr>
        <w:t>Снип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2.08.02-89* подп. г) п. 5.15 </w:t>
      </w:r>
      <w:r>
        <w:rPr>
          <w:rFonts w:ascii="Times New Roman" w:eastAsia="Times New Roman" w:hAnsi="Times New Roman" w:cs="Times New Roman"/>
          <w:sz w:val="25"/>
          <w:szCs w:val="25"/>
        </w:rPr>
        <w:t>снип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2.04.05-91), выход из лифта в подвальном этаже здания не оборудован тамбур-шлюзом с подачей в него наружного воздуха при пожаре системами приточной </w:t>
      </w:r>
      <w:r>
        <w:rPr>
          <w:rFonts w:ascii="Times New Roman" w:eastAsia="Times New Roman" w:hAnsi="Times New Roman" w:cs="Times New Roman"/>
          <w:sz w:val="25"/>
          <w:szCs w:val="25"/>
        </w:rPr>
        <w:t>противодымной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вентиля</w:t>
      </w:r>
      <w:r>
        <w:rPr>
          <w:rFonts w:ascii="Times New Roman" w:eastAsia="Times New Roman" w:hAnsi="Times New Roman" w:cs="Times New Roman"/>
          <w:sz w:val="25"/>
          <w:szCs w:val="25"/>
        </w:rPr>
        <w:t>ции;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 1, ч. 1 ст. 89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РФ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123-ФЗ от 22.07.2008 «Технический регламент о требованиях пожарной безопасности», п. 23 Постановления Правительства РФ от 16.09.2020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1479 «Об утверждении Правил противопожарного режима в Российской Федерации»;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4.1.2, 4.2.19, 4.2.24, 4.4.1 СП 1.13130.2020 «Системы противопожарной защиты. «Эвакуационные пути и выходы», ширина дверей </w:t>
      </w:r>
      <w:r>
        <w:rPr>
          <w:rFonts w:ascii="Times New Roman" w:eastAsia="Times New Roman" w:hAnsi="Times New Roman" w:cs="Times New Roman"/>
          <w:sz w:val="25"/>
          <w:szCs w:val="25"/>
        </w:rPr>
        <w:t>эвакуационных выходов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ведущих из поэтажных коридоров подвального этажа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43, 104, 116 (согласно экспликации технического паспорта) в лестницы, ведущие непосредственно наружу менее 0,8 метра (фактически ширина в свету составляет 0,68 метра);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 1, ч. 1 ст. 89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23 Постановления Правительства РФ от 16.09.2020 № 1479 «Об утверждении Правил противопожарного режима в Российской Федерации»;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4.1.2, 4.2.19, 4.2.24, 4.4.1 СП 1.13130.2020 «Системы противопожарной защиты. «Эвакуационные пути и выходы», ширина эвакуационных выходов из подвального этажа непосредственно наружу) менее 0,8 метра (фактически ширина в свету составляет от 0,68 до 0, 75 метра);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ч</w:t>
      </w:r>
      <w:r>
        <w:rPr>
          <w:rFonts w:ascii="Times New Roman" w:eastAsia="Times New Roman" w:hAnsi="Times New Roman" w:cs="Times New Roman"/>
          <w:sz w:val="25"/>
          <w:szCs w:val="25"/>
        </w:rPr>
        <w:t>. 1 ст. 89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4.4.2, 4.4.2 СП 1.13130.2020 «Система противопожарной защиты. Эв</w:t>
      </w:r>
      <w:r>
        <w:rPr>
          <w:rFonts w:ascii="Times New Roman" w:eastAsia="Times New Roman" w:hAnsi="Times New Roman" w:cs="Times New Roman"/>
          <w:sz w:val="25"/>
          <w:szCs w:val="25"/>
        </w:rPr>
        <w:t>акуационные пути и выходы», на о</w:t>
      </w:r>
      <w:r>
        <w:rPr>
          <w:rFonts w:ascii="Times New Roman" w:eastAsia="Times New Roman" w:hAnsi="Times New Roman" w:cs="Times New Roman"/>
          <w:sz w:val="25"/>
          <w:szCs w:val="25"/>
        </w:rPr>
        <w:t>бъекте защиты в помещениях лестничных клеток №№ 22, 59, 151 (согласно экспликации первого этажа технического паспорта) ширина лестничных площадок менее ширины марша (фактически 1,2);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в нарушении части 1, главы 1, статьи 6, пункта 1, </w:t>
      </w:r>
      <w:r>
        <w:rPr>
          <w:rFonts w:ascii="Times New Roman" w:eastAsia="Times New Roman" w:hAnsi="Times New Roman" w:cs="Times New Roman"/>
          <w:sz w:val="25"/>
          <w:szCs w:val="25"/>
        </w:rPr>
        <w:t>чч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1, 2 ст. 89 Федерального </w:t>
      </w:r>
      <w:r>
        <w:rPr>
          <w:rFonts w:ascii="Times New Roman" w:eastAsia="Times New Roman" w:hAnsi="Times New Roman" w:cs="Times New Roman"/>
          <w:sz w:val="25"/>
          <w:szCs w:val="25"/>
        </w:rPr>
        <w:t>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23 Постановления Правительства РФ от 16.09.2020 № 1479 «Об утверждении Правил противопожарного режима в Российской Федерации»;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4.1.2, 9.1.2, 9.3.6 СП 1.13130.2020 «Система противопожарной защиты. Эвакуационные пути и выходы», на четвертом и втором этажах объекта защиты, на которых допускается пребывание маломобильных групп населения, не предусмотрены мероприятия, направленные на обеспечение их безопасности при пожаре. С этажа не предусмотрен путь движения и (или) перемещения для маломобильных групп населения, ведущий непосредственно наружу или в безопасную зону, удовлетворяющий требованиям безопасной эвакуации людей при пожаре;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, ч. 4 ст. 83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</w:t>
      </w:r>
      <w:r>
        <w:rPr>
          <w:rFonts w:ascii="Times New Roman" w:eastAsia="Times New Roman" w:hAnsi="Times New Roman" w:cs="Times New Roman"/>
          <w:sz w:val="25"/>
          <w:szCs w:val="25"/>
        </w:rPr>
        <w:t>ваниях пожарной безопасности», п</w:t>
      </w:r>
      <w:r>
        <w:rPr>
          <w:rFonts w:ascii="Times New Roman" w:eastAsia="Times New Roman" w:hAnsi="Times New Roman" w:cs="Times New Roman"/>
          <w:sz w:val="25"/>
          <w:szCs w:val="25"/>
        </w:rPr>
        <w:t>ри контроле функционирования ИП путем воздействия на него соответствующим имитатором опасного фактора пожара (дым) в помещениях № 39 (4 этаж), № 52 (4 этаж), № 26 (4 этаж), № 34 (4 этаж), № 181 (3 этаж), № 111 (3 этаж), № 116 (3 этаж), № 26 (2 этаж), № 34 (2 этаж), № 57 (2 этаж), № 59 (2 этаж), № 21 (1 этаж), № 86(1 этаж), № 70 (подвал), № 2 (подвал) не обеспечивается автоматическое обнаружение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«п</w:t>
      </w:r>
      <w:r>
        <w:rPr>
          <w:rFonts w:ascii="Times New Roman" w:eastAsia="Times New Roman" w:hAnsi="Times New Roman" w:cs="Times New Roman"/>
          <w:sz w:val="25"/>
          <w:szCs w:val="25"/>
        </w:rPr>
        <w:t>ожара»;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 1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</w:t>
      </w:r>
      <w:r>
        <w:rPr>
          <w:rFonts w:ascii="Times New Roman" w:eastAsia="Times New Roman" w:hAnsi="Times New Roman" w:cs="Times New Roman"/>
          <w:sz w:val="25"/>
          <w:szCs w:val="25"/>
        </w:rPr>
        <w:t>безопасности», п. А4. приложения А СП 5.13130.2009 «Системы противопожарной защиты. Установки пожарной сигнализации и пожаротушения автоматические. Нормы и правила проектирования», помещения №№ 28 (4 этаж), 66 (4 этаж), 70 (3 этаж), 28 (3 этаж), 100 (1 этаж), 72 (1 этаж), 30 (подвал), 31 (подвал), 83 (подвал), 45 (подвал) не защищены системой пожарной сигнализации;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 1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13.3.6 СП 5.13130.2009 «Системы противопожарной защиты. Установки пожарной сигнализации и пожаротушения автоматические. Но</w:t>
      </w:r>
      <w:r>
        <w:rPr>
          <w:rFonts w:ascii="Times New Roman" w:eastAsia="Times New Roman" w:hAnsi="Times New Roman" w:cs="Times New Roman"/>
          <w:sz w:val="25"/>
          <w:szCs w:val="25"/>
        </w:rPr>
        <w:t>рмы и правила проектирования»,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помещениях №№ 95 (4 этаж), 117 (4 этаж), 3 (4 этаж), 2 (4 этаж), 4 (3 этаж), 3 (3 этаж), 122 (3 этаж), 166 (3 этаж), 3 (2 этаж), 34 (2 этаж), 104 (подвал) расстояние от точечного ИП до вентиляционного отверстия менее 1 м.;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 1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табл. №13.4.1 СП 5.13130.2009 «Системы противопожарной защиты. Установки пожарной сигнализации и пожаротушения автоматические. Но</w:t>
      </w:r>
      <w:r>
        <w:rPr>
          <w:rFonts w:ascii="Times New Roman" w:eastAsia="Times New Roman" w:hAnsi="Times New Roman" w:cs="Times New Roman"/>
          <w:sz w:val="25"/>
          <w:szCs w:val="25"/>
        </w:rPr>
        <w:t>рмы и правила проектирования»,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помещениях №№ 134 (1 этаж), 41 (1 этаж), 68 (1 этаж) с атриумом высотой более 12 м, установлены точеные пожарные </w:t>
      </w:r>
      <w:r>
        <w:rPr>
          <w:rFonts w:ascii="Times New Roman" w:eastAsia="Times New Roman" w:hAnsi="Times New Roman" w:cs="Times New Roman"/>
          <w:sz w:val="25"/>
          <w:szCs w:val="25"/>
        </w:rPr>
        <w:t>извещатели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части 1, главы 1, статьи 6, пункта 1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4.2 СП 3.13130.2009 «Системы противопожарной защиты. Система оповещения и управления эвакуацией людей при пожаре. Требования пожарной безопасности», в помещениях №№5 (5 этаж), 138 (1 этаж) значение уровня звуковых сигналов СОУЭ менее 50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(по факту от 33±2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 45±2дБА);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 1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4.3 СП 3.13130.2009 «Системы противопожарной защиты. Система оповещения и управления эвакуацией людей при пожаре. Требования пожарной безопасности», в помещении №№ 160 (4 этаж), 181 (3 этаж), 78 (3 этаж), 141 (2 этаж) значение уровня звуковых сигналов СОУЭ менее 70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(по факту от 33±2дБА до 60±22дБА);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 1 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eastAsia="Times New Roman" w:hAnsi="Times New Roman" w:cs="Times New Roman"/>
          <w:sz w:val="25"/>
          <w:szCs w:val="25"/>
        </w:rPr>
        <w:t>а РФ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123-ФЗ от 22.07.2008 «Технический регламент о требованиях пожарной безопасности», п. 5.3 СП 3.13130.2009 «Системы противопожарной защиты. Система оповещения и управления эвакуацией людей при пожаре. Требования пожарной безопасности», отсутствует световой </w:t>
      </w:r>
      <w:r>
        <w:rPr>
          <w:rFonts w:ascii="Times New Roman" w:eastAsia="Times New Roman" w:hAnsi="Times New Roman" w:cs="Times New Roman"/>
          <w:sz w:val="25"/>
          <w:szCs w:val="25"/>
        </w:rPr>
        <w:t>оповещатель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«Выход» над эвакуационным выходом из лестничных клеток и коридоров 1 и подвального этажей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чем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.04.2025 совершило правонарушение, предусмотренное ч.13 ст.19.5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Защитник Мурашова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вину учреждения признала,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нарушений правил пожарной безопасности не оспаривала, просила учесть финансовое и имущественное положение учреждения, которое достаточными денежными средствами для устранения всех пунктов предписания в установленный срок не располагает.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Учреждение оказывает платные услуги, но дохода от них недостаточно для того, чтобы привести объекты больницы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5"/>
          <w:szCs w:val="25"/>
        </w:rPr>
        <w:t>Главный врач учреждения обращалась к учредителю с ходатайствами о выделении денежных средств для выполнения пунктов предписания, субсидия на мероприятие выделена лишь в мае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года, 31.05.2024 между учреждением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ИП Токаревым заключены контракты на выполнение противопожарных мероприятий, срок исполнения которых определен 25.12.2025. </w:t>
      </w:r>
      <w:r>
        <w:rPr>
          <w:rFonts w:ascii="Times New Roman" w:eastAsia="Times New Roman" w:hAnsi="Times New Roman" w:cs="Times New Roman"/>
          <w:sz w:val="25"/>
          <w:szCs w:val="25"/>
        </w:rPr>
        <w:t>При этом, часть нарушений учреждением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устранены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Просила назначить наказание ниже низшего предела.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Законный представитель юридичес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главного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врач</w:t>
      </w:r>
      <w:r>
        <w:rPr>
          <w:rFonts w:ascii="Times New Roman" w:eastAsia="Times New Roman" w:hAnsi="Times New Roman" w:cs="Times New Roman"/>
          <w:sz w:val="25"/>
          <w:szCs w:val="25"/>
        </w:rPr>
        <w:t>а Никитин Д.Ю.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возражение. Ссылается на то, что О</w:t>
      </w:r>
      <w:r>
        <w:rPr>
          <w:rFonts w:ascii="Times New Roman" w:eastAsia="Times New Roman" w:hAnsi="Times New Roman" w:cs="Times New Roman"/>
          <w:sz w:val="25"/>
          <w:szCs w:val="25"/>
        </w:rPr>
        <w:t>кружная клиническая больница является бюджетным учреждением, финансирование которого осуществляется Департаментом здравоохранения ХМАО-Югры, объект защиты находится в оперативном управлении, финансовые средства, выделяемые Учреждению, имеют строго целевое назначение. Штатным расписанием Учреждения не предусм</w:t>
      </w:r>
      <w:r>
        <w:rPr>
          <w:rFonts w:ascii="Times New Roman" w:eastAsia="Times New Roman" w:hAnsi="Times New Roman" w:cs="Times New Roman"/>
          <w:sz w:val="25"/>
          <w:szCs w:val="25"/>
        </w:rPr>
        <w:t>отрены и отсутствуют сотрудники, 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оторые могут произвести работы по установке систем противопожарной защиты, в связи с чем, учреждение вынуждено заключать государственные контракты со специализированными организациями. Учреждение вменяется в вину пассивное поведение, вместе с тем, начиная с 2019 года учреждение многократно 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Представитель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органа </w:t>
      </w:r>
      <w:r>
        <w:rPr>
          <w:rFonts w:ascii="Times New Roman" w:eastAsia="Times New Roman" w:hAnsi="Times New Roman" w:cs="Times New Roman"/>
          <w:sz w:val="25"/>
          <w:szCs w:val="25"/>
        </w:rPr>
        <w:t>Басацкий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просил привлечь к ответственности Учреждение, поскольку пункты предписания в срок не исполнены. При этом, часть нарушений учреждением устранена.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возражал против назначения наказания ниже низшего предела.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защитника,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представителя административного органа,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Частью 13 статьи 19.5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следует,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БУ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>«Окружная клиническая больница» является учреждением здравоохранения, основным видом деятельности которого является деятельность больничных организаций.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.04.2023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БУ 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«Окружная клиническая больница»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выдано предписание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2304/171-86/15-П/ПВП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устранению нарушений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Предписание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2304/171-86/15-П/ПВП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получено представителем Учреждения </w:t>
      </w:r>
      <w:r>
        <w:rPr>
          <w:rFonts w:ascii="Times New Roman" w:eastAsia="Times New Roman" w:hAnsi="Times New Roman" w:cs="Times New Roman"/>
          <w:sz w:val="25"/>
          <w:szCs w:val="25"/>
        </w:rPr>
        <w:t>28.04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.2023, 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для исполнения предписаний </w:t>
      </w:r>
      <w:r>
        <w:rPr>
          <w:rFonts w:ascii="Times New Roman" w:eastAsia="Times New Roman" w:hAnsi="Times New Roman" w:cs="Times New Roman"/>
          <w:sz w:val="25"/>
          <w:szCs w:val="25"/>
        </w:rPr>
        <w:t>до 15.04.2025.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проведения внеплановой выездной проверки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составлен акт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2505/015-86/88-В/АВП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которым установлено невыполнение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пунктов </w:t>
      </w:r>
      <w:r>
        <w:rPr>
          <w:rFonts w:ascii="Times New Roman" w:eastAsia="Times New Roman" w:hAnsi="Times New Roman" w:cs="Times New Roman"/>
          <w:sz w:val="25"/>
          <w:szCs w:val="25"/>
        </w:rPr>
        <w:t>№№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1-3, 6-8, 14, 19, 20-25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2304/171-86/15-П/ПВП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28.04.2023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Фактические обстоятельства дела подтверждаются протоколом об административном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-86-015-</w:t>
      </w:r>
      <w:r>
        <w:rPr>
          <w:rFonts w:ascii="Times New Roman" w:eastAsia="Times New Roman" w:hAnsi="Times New Roman" w:cs="Times New Roman"/>
          <w:sz w:val="25"/>
          <w:szCs w:val="25"/>
        </w:rPr>
        <w:t>00095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/6/1 от </w:t>
      </w:r>
      <w:r>
        <w:rPr>
          <w:rFonts w:ascii="Times New Roman" w:eastAsia="Times New Roman" w:hAnsi="Times New Roman" w:cs="Times New Roman"/>
          <w:sz w:val="25"/>
          <w:szCs w:val="25"/>
        </w:rPr>
        <w:t>19.06.2025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решением о проведении внеплановой выездной проверки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актом внеплановой выездной проверки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протоколом осмотра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опроса контролируемого лица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фототаблицей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предписанием об устранении выявленных нарушений требований пожарной безопасности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/015-86/</w:t>
      </w:r>
      <w:r>
        <w:rPr>
          <w:rFonts w:ascii="Times New Roman" w:eastAsia="Times New Roman" w:hAnsi="Times New Roman" w:cs="Times New Roman"/>
          <w:sz w:val="25"/>
          <w:szCs w:val="25"/>
        </w:rPr>
        <w:t>88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-В/ПВП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о согласовании с прокурором проведения внепланового контрольного мероприятия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копией решения прокурора о результатах рассмотрения о согласовании проведения внепланового контрольного (надзорного) мероприятия 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>; копией предписания об устранении нарушений обязательных требований пожа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рной безопасности </w:t>
      </w:r>
      <w:r>
        <w:rPr>
          <w:rFonts w:ascii="Times New Roman" w:eastAsia="Times New Roman" w:hAnsi="Times New Roman" w:cs="Times New Roman"/>
          <w:sz w:val="25"/>
          <w:szCs w:val="25"/>
        </w:rPr>
        <w:t>№2304/171-86/15-П/ПВП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28.04</w:t>
      </w:r>
      <w:r>
        <w:rPr>
          <w:rFonts w:ascii="Times New Roman" w:eastAsia="Times New Roman" w:hAnsi="Times New Roman" w:cs="Times New Roman"/>
          <w:sz w:val="25"/>
          <w:szCs w:val="25"/>
        </w:rPr>
        <w:t>.2023; копией выписки из ЕГРЮЛ в отношении БУ «Окружная клиническая больница».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Материалы дела свидетельствуют о том, что юридическим лицом БУ «Окружная клиническая больница»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Представленная главным врачом переписка с Департаментом здравоохранения ХМАО-Югры и КУ «Центр медицины катастроф», согласно которой Учреждение после вынесения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дважды 14.07.2023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19.07.2024 обращалось в Департамент здравоохранения округа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единожды </w:t>
      </w:r>
      <w:r>
        <w:rPr>
          <w:rFonts w:ascii="Times New Roman" w:eastAsia="Times New Roman" w:hAnsi="Times New Roman" w:cs="Times New Roman"/>
          <w:sz w:val="25"/>
          <w:szCs w:val="25"/>
        </w:rPr>
        <w:t>в КУ «Центр медицины катастроф» с просьбой к Департаменту о выделении дополнительного финансирования на реализацию замены автоматической пожарной сигнализации на объектах БУ «Окружная клиническая больница» и к Центру медицины катастроф об оказании содействия в выделении финансирования для реализации данных мероприятий, не свидетельствует о принятии всех возможных мер для исполнения предписания и устранения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этом, суд отмечает, что данные письма носят формальный характер, не содержат расчетов о необходимых затратах для устранения пунктов выявленных нарушений, содержащихся в предписании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.04.2023.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согласно выписки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ЕГРЮЛ учредителями БУ «Окружная клиническая больница» являются как Департамент здравоохранения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ХМАО-Югры, </w:t>
      </w:r>
      <w:r>
        <w:rPr>
          <w:rFonts w:ascii="Times New Roman" w:eastAsia="Times New Roman" w:hAnsi="Times New Roman" w:cs="Times New Roman"/>
          <w:sz w:val="25"/>
          <w:szCs w:val="25"/>
        </w:rPr>
        <w:t>так и Департамент государственной собственности ХМАО-Ю</w:t>
      </w:r>
      <w:r>
        <w:rPr>
          <w:rFonts w:ascii="Times New Roman" w:eastAsia="Times New Roman" w:hAnsi="Times New Roman" w:cs="Times New Roman"/>
          <w:sz w:val="25"/>
          <w:szCs w:val="25"/>
        </w:rPr>
        <w:t>гры. П</w:t>
      </w:r>
      <w:r>
        <w:rPr>
          <w:rFonts w:ascii="Times New Roman" w:eastAsia="Times New Roman" w:hAnsi="Times New Roman" w:cs="Times New Roman"/>
          <w:sz w:val="25"/>
          <w:szCs w:val="25"/>
        </w:rPr>
        <w:t>ри этом, каких-либо мотивированных писем в адрес Департамента государственной собственности окру</w:t>
      </w:r>
      <w:r>
        <w:rPr>
          <w:rFonts w:ascii="Times New Roman" w:eastAsia="Times New Roman" w:hAnsi="Times New Roman" w:cs="Times New Roman"/>
          <w:sz w:val="25"/>
          <w:szCs w:val="25"/>
        </w:rPr>
        <w:t>га Учреждением не направлялось.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Сам факт недостаточности финансирования не является основанием для невыполнения законного предписания органа, осуществляющего государственный пожарный надзор.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Оценив, представленные доказательства, в их совокупности, суд находит их допустимыми и приходит к выводу, что обстоятельства, изложенные в протоколе об административном правонарушении, иных материалах дела не противоречат друг другу, оснований не доверять сведениям, указанным в них, не имеется, протокол составлен уполномоченным должностным лицом в соответствии с требованиями КоАП РФ, нарушений процессуальных требований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возможность привлечения БУ «Окружная клиническая больница» к административной ответственности, не установлено.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Бездействие БУ «Окружная клиническая больница» мировой судья квалифицирует по ч.13 ст.19.5 КоАП РФ - </w:t>
      </w:r>
      <w:r>
        <w:rPr>
          <w:rFonts w:ascii="Times New Roman" w:eastAsia="Times New Roman" w:hAnsi="Times New Roman" w:cs="Times New Roman"/>
          <w:sz w:val="25"/>
          <w:szCs w:val="25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Допущенные нарушения требований пожарной безопасности, на необходимость устранения которых было указано в предписании, могут повлечь негативные последствия, привести к недопустимому риску для жизни и здоровья людей на территории и в помещениях БУ «Окружная клиническая больница», в связи с чем, оснований для признания совершенного правонарушения малозначительным и освобождения юридического лица от административной ответственности на основании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 2.9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совершено правонарушение, посягающее на порядок управления. Обстоятельствами, см</w:t>
      </w:r>
      <w:r>
        <w:rPr>
          <w:rFonts w:ascii="Times New Roman" w:eastAsia="Times New Roman" w:hAnsi="Times New Roman" w:cs="Times New Roman"/>
          <w:sz w:val="25"/>
          <w:szCs w:val="25"/>
        </w:rPr>
        <w:t>ягчающими административную ответственность, являются признание вины в совершенном правонарушении, выполнение части пунктов предписания, принятие мер для устранения допущенных нарушений противопожарной безопасности, 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этом, </w:t>
      </w:r>
      <w:r>
        <w:rPr>
          <w:rFonts w:ascii="Times New Roman" w:eastAsia="Times New Roman" w:hAnsi="Times New Roman" w:cs="Times New Roman"/>
          <w:sz w:val="25"/>
          <w:szCs w:val="25"/>
        </w:rPr>
        <w:t>юридическое лицо является бюджетным предприятием, то есть финансируется за счет бюджета субъекта на основании заранее составленных заявок на расходование бюджетных средств.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>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считает возможным назначение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>«Окружная клиническая больница»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3.2 статьи 4.1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ниже низшего предела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предусмотренном ч.13 ст.19.5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23.1, 29.10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 о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 бюджетное учреждение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«Окружная клиническая больница»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5"/>
          <w:szCs w:val="25"/>
        </w:rPr>
        <w:t>вонарушения, предусмотренного частью 13 статьи 19.5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оссийской </w:t>
      </w:r>
      <w:r>
        <w:rPr>
          <w:rFonts w:ascii="Times New Roman" w:eastAsia="Times New Roman" w:hAnsi="Times New Roman" w:cs="Times New Roman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и назначить ему наказание в виде админ</w:t>
      </w:r>
      <w:r>
        <w:rPr>
          <w:rFonts w:ascii="Times New Roman" w:eastAsia="Times New Roman" w:hAnsi="Times New Roman" w:cs="Times New Roman"/>
          <w:sz w:val="25"/>
          <w:szCs w:val="25"/>
        </w:rPr>
        <w:t>истративного штрафа в размере 45 000 (сорок пять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72011601193010005140 УИН: </w:t>
      </w:r>
      <w:r>
        <w:rPr>
          <w:rFonts w:ascii="Times New Roman" w:eastAsia="Times New Roman" w:hAnsi="Times New Roman" w:cs="Times New Roman"/>
          <w:sz w:val="25"/>
          <w:szCs w:val="25"/>
        </w:rPr>
        <w:t>0412365400725008392519157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160" w:line="259" w:lineRule="auto"/>
        <w:rPr>
          <w:sz w:val="25"/>
          <w:szCs w:val="25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2214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consultantplus://offline/ref=56E0468AE8C2A292958085FAE9C493C0E4366B44335E98FCD8FD83D8228EAB9CA94DC4D42750D30428ED349FA0E2C5657A8223592A74t5i2L" TargetMode="External" /><Relationship Id="rId6" Type="http://schemas.openxmlformats.org/officeDocument/2006/relationships/hyperlink" Target="garantf1://12056199.3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6651-A584-49C0-B264-735151E033A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