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894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8"/>
        <w:gridCol w:w="445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года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16 час. 00 мин.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Юлии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дома №1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Тихая</w:t>
      </w:r>
      <w:r>
        <w:rPr>
          <w:rFonts w:ascii="Times New Roman" w:eastAsia="Times New Roman" w:hAnsi="Times New Roman" w:cs="Times New Roman"/>
          <w:sz w:val="26"/>
          <w:szCs w:val="26"/>
        </w:rPr>
        <w:t>, Васильева Ю.В.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походку, невнятную речь, резкий запах алкоголя из полости рта, неопрятный внешний вид, чем вызвал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а, раскаялась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а, что действительно находилась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указанные в протоколе время и месте в состоянии алкогольного опьянения.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398434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от </w:t>
      </w: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542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 у Васильевой Ю.В. установлено состояние алкогольного опьянения, показания прибора составили 1,02 мг/л этанола в выдыхаемом воздухе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фотоотчетом; рапортом от </w:t>
      </w:r>
      <w:r>
        <w:rPr>
          <w:rFonts w:ascii="Times New Roman" w:eastAsia="Times New Roman" w:hAnsi="Times New Roman" w:cs="Times New Roman"/>
          <w:sz w:val="26"/>
          <w:szCs w:val="26"/>
        </w:rPr>
        <w:t>08.06.2025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Васильеву Юлию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19rplc-9">
    <w:name w:val="cat-UserDefined grp-1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