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05-097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18.06.2025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председателя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Соболевой Светланы Николаевны,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Соболева Светлана Николаевна, являясь председателем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Яр, ул. Береговая, д.17, до 24.00 часов 25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 года не исполнила установленную п.7 ст. 431 Налогового кодекса РФ обязанность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представлению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года, чем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Соболевой Светланы Николаевны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Соболева Светлана Николаевна в судебное заседание не явилась, о дате, времени и месте судебного заседания извещена надлежащим образом, причины неявки не сообщила.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Соболевой Светланы Николаевны подтверждены совокупностью доказательств, а именно: протоколом об административном правонарушении № 8617250</w:t>
      </w:r>
      <w:r>
        <w:rPr>
          <w:rFonts w:ascii="Times New Roman" w:eastAsia="Times New Roman" w:hAnsi="Times New Roman" w:cs="Times New Roman"/>
        </w:rPr>
        <w:t>8700161400002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.04.2025; реестрами внутренних почтовых отправлений, выпиской из ЕГРЮЛ в отношении юридического лица,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Соболевой Светланы Николаевны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19 Налогового кодекса РФ (далее - НК РФ) налогоплательщиками и плательщиками сборов признаются организации и физические лица, на которых в </w:t>
      </w:r>
      <w:r>
        <w:rPr>
          <w:rFonts w:ascii="Times New Roman" w:eastAsia="Times New Roman" w:hAnsi="Times New Roman" w:cs="Times New Roman"/>
        </w:rPr>
        <w:t>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 должен был быть представлен </w:t>
      </w:r>
      <w:r>
        <w:rPr>
          <w:rFonts w:ascii="Times New Roman" w:eastAsia="Times New Roman" w:hAnsi="Times New Roman" w:cs="Times New Roman"/>
        </w:rPr>
        <w:t xml:space="preserve">председателем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</w:t>
      </w:r>
      <w:r>
        <w:rPr>
          <w:rFonts w:ascii="Times New Roman" w:eastAsia="Times New Roman" w:hAnsi="Times New Roman" w:cs="Times New Roman"/>
        </w:rPr>
        <w:t>в налоговый орган в срок не позднее 24.00 часов 25.0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.2024 года. Согласно квитанции Межрайонной ИФНС России №11 по ХМАО-Югре </w:t>
      </w:r>
      <w:r>
        <w:rPr>
          <w:rFonts w:ascii="Times New Roman" w:eastAsia="Times New Roman" w:hAnsi="Times New Roman" w:cs="Times New Roman"/>
        </w:rPr>
        <w:t xml:space="preserve">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предоставило расчет по страховым взносам 15.01.2025 года, то есть по истечении установленного законом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материалов, на момент возникновения обязанности у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предоставить расчет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2024 года, Соболева Светлана Николаевна осуществляла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Соболева Светлана Николаевна 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Соболевой Светланы Николаевны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Соболевой Светлане Николаевне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Соболеву Светлану Николаевну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0412365400135009712515145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43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</w:t>
          </w: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